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29DED" w14:textId="77777777" w:rsidR="00286E6C" w:rsidRPr="0073296F" w:rsidRDefault="00286E6C" w:rsidP="00286E6C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1DE16C8F" w14:textId="77777777" w:rsidR="00286E6C" w:rsidRDefault="00286E6C" w:rsidP="00286E6C">
      <w:pPr>
        <w:pStyle w:val="TitoloDocumento"/>
        <w:jc w:val="both"/>
        <w:rPr>
          <w:color w:val="0077CF"/>
          <w:sz w:val="28"/>
          <w:szCs w:val="28"/>
        </w:rPr>
      </w:pPr>
    </w:p>
    <w:p w14:paraId="6C0E6D28" w14:textId="62B450A7" w:rsidR="00286E6C" w:rsidRDefault="00286E6C" w:rsidP="00286E6C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7</w:t>
      </w:r>
      <w:r>
        <w:rPr>
          <w:color w:val="0077CF"/>
          <w:sz w:val="28"/>
          <w:szCs w:val="28"/>
        </w:rPr>
        <w:t xml:space="preserve">: </w:t>
      </w:r>
      <w:r w:rsidRPr="00286E6C">
        <w:rPr>
          <w:color w:val="0077CF"/>
          <w:sz w:val="28"/>
          <w:szCs w:val="28"/>
        </w:rPr>
        <w:t>Motivazioni del ribasso del costo della manodopera</w:t>
      </w:r>
      <w:r w:rsidRPr="00286E6C">
        <w:rPr>
          <w:color w:val="0077CF"/>
          <w:sz w:val="28"/>
          <w:szCs w:val="28"/>
        </w:rPr>
        <w:t xml:space="preserve"> </w:t>
      </w:r>
    </w:p>
    <w:p w14:paraId="007E951E" w14:textId="77777777" w:rsidR="00286E6C" w:rsidRPr="0073296F" w:rsidRDefault="00286E6C" w:rsidP="00286E6C">
      <w:pPr>
        <w:pStyle w:val="TitoloDocumento"/>
        <w:jc w:val="both"/>
        <w:rPr>
          <w:color w:val="0077CF"/>
          <w:sz w:val="28"/>
          <w:szCs w:val="28"/>
        </w:rPr>
      </w:pPr>
    </w:p>
    <w:p w14:paraId="132B3D80" w14:textId="77777777" w:rsidR="00286E6C" w:rsidRPr="0073296F" w:rsidRDefault="00286E6C" w:rsidP="00286E6C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057DFDD9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i/>
          <w:kern w:val="0"/>
        </w:rPr>
        <w:t>&lt;</w:t>
      </w: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4FCCF91F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  <w:r w:rsidRPr="00F1324F">
        <w:rPr>
          <w:rFonts w:ascii="Arial" w:hAnsi="Arial" w:cs="Arial"/>
          <w:b/>
          <w:i/>
          <w:color w:val="0000CC"/>
          <w:kern w:val="0"/>
        </w:rPr>
        <w:t>[l’elenco di seguito riportato può essere personalizzato in funzione delle caratteristiche dell’iniziativa]</w:t>
      </w:r>
    </w:p>
    <w:p w14:paraId="4B6AB368" w14:textId="5EB684E0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286E6C">
        <w:rPr>
          <w:rFonts w:ascii="Arial" w:hAnsi="Arial" w:cs="Arial"/>
          <w:i/>
          <w:iCs/>
          <w:sz w:val="20"/>
          <w:szCs w:val="20"/>
        </w:rPr>
        <w:t xml:space="preserve">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Contratto</w:t>
      </w:r>
      <w:r w:rsidRPr="00F1324F">
        <w:rPr>
          <w:rFonts w:ascii="Arial" w:eastAsia="Times New Roman" w:hAnsi="Arial" w:cs="Arial"/>
          <w:i/>
          <w:sz w:val="20"/>
          <w:szCs w:val="24"/>
        </w:rPr>
        <w:t>;</w:t>
      </w:r>
      <w:r w:rsidRPr="00F1324F">
        <w:rPr>
          <w:rFonts w:ascii="Arial" w:eastAsia="Times New Roman" w:hAnsi="Arial" w:cs="Arial"/>
          <w:b/>
          <w:i/>
          <w:color w:val="0000CC"/>
          <w:sz w:val="20"/>
          <w:szCs w:val="24"/>
        </w:rPr>
        <w:t xml:space="preserve"> </w:t>
      </w:r>
    </w:p>
    <w:p w14:paraId="5771811C" w14:textId="17EE5006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5605E72A" w14:textId="2C80AB75" w:rsidR="00DF5A49" w:rsidRDefault="00DF5A49">
      <w:pPr>
        <w:widowControl/>
        <w:autoSpaceDE/>
        <w:autoSpaceDN/>
        <w:adjustRightInd/>
        <w:spacing w:line="240" w:lineRule="auto"/>
        <w:jc w:val="left"/>
        <w:rPr>
          <w:rFonts w:ascii="Arial" w:hAnsi="Arial" w:cs="Arial"/>
          <w:i/>
          <w:kern w:val="0"/>
        </w:rPr>
      </w:pPr>
      <w:r>
        <w:rPr>
          <w:rFonts w:ascii="Arial" w:hAnsi="Arial" w:cs="Arial"/>
          <w:i/>
          <w:kern w:val="0"/>
        </w:rPr>
        <w:br w:type="page"/>
      </w: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5B8D" w14:textId="77777777" w:rsidR="00AC50C9" w:rsidRDefault="00AC50C9" w:rsidP="00816101">
      <w:r>
        <w:separator/>
      </w:r>
    </w:p>
  </w:endnote>
  <w:endnote w:type="continuationSeparator" w:id="0">
    <w:p w14:paraId="7E382E60" w14:textId="77777777" w:rsidR="00AC50C9" w:rsidRDefault="00AC50C9" w:rsidP="00816101">
      <w:r>
        <w:continuationSeparator/>
      </w:r>
    </w:p>
  </w:endnote>
  <w:endnote w:type="continuationNotice" w:id="1">
    <w:p w14:paraId="6A59AAED" w14:textId="77777777" w:rsidR="00AC50C9" w:rsidRDefault="00AC50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CF65" w14:textId="77777777" w:rsidR="00286E6C" w:rsidRPr="00094C23" w:rsidRDefault="00286E6C" w:rsidP="00286E6C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33402079" w14:textId="77777777" w:rsidR="00286E6C" w:rsidRPr="00094C23" w:rsidRDefault="00286E6C" w:rsidP="00286E6C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3E2A8013" w14:textId="5C811E5A" w:rsidR="00286E6C" w:rsidRPr="00094C23" w:rsidRDefault="00286E6C" w:rsidP="00286E6C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1BBA4" wp14:editId="70D82DA9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18735257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C40FAB" w14:textId="77777777" w:rsidR="00286E6C" w:rsidRPr="00BB6CCB" w:rsidRDefault="00286E6C" w:rsidP="00286E6C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99E2FE" w14:textId="77777777" w:rsidR="00286E6C" w:rsidRDefault="00286E6C" w:rsidP="00286E6C"/>
                        <w:p w14:paraId="0BA61C3E" w14:textId="77777777" w:rsidR="00286E6C" w:rsidRDefault="00286E6C" w:rsidP="00286E6C"/>
                        <w:p w14:paraId="7E963490" w14:textId="77777777" w:rsidR="00286E6C" w:rsidRDefault="00286E6C" w:rsidP="00286E6C"/>
                        <w:p w14:paraId="636B616F" w14:textId="77777777" w:rsidR="00286E6C" w:rsidRDefault="00286E6C" w:rsidP="00286E6C"/>
                        <w:p w14:paraId="2985D989" w14:textId="77777777" w:rsidR="00286E6C" w:rsidRDefault="00286E6C" w:rsidP="00286E6C"/>
                        <w:p w14:paraId="0EF71A10" w14:textId="77777777" w:rsidR="00286E6C" w:rsidRDefault="00286E6C" w:rsidP="00286E6C"/>
                        <w:p w14:paraId="38AFA19E" w14:textId="77777777" w:rsidR="00286E6C" w:rsidRDefault="00286E6C" w:rsidP="00286E6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91BB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2DC40FAB" w14:textId="77777777" w:rsidR="00286E6C" w:rsidRPr="00BB6CCB" w:rsidRDefault="00286E6C" w:rsidP="00286E6C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5599E2FE" w14:textId="77777777" w:rsidR="00286E6C" w:rsidRDefault="00286E6C" w:rsidP="00286E6C"/>
                  <w:p w14:paraId="0BA61C3E" w14:textId="77777777" w:rsidR="00286E6C" w:rsidRDefault="00286E6C" w:rsidP="00286E6C"/>
                  <w:p w14:paraId="7E963490" w14:textId="77777777" w:rsidR="00286E6C" w:rsidRDefault="00286E6C" w:rsidP="00286E6C"/>
                  <w:p w14:paraId="636B616F" w14:textId="77777777" w:rsidR="00286E6C" w:rsidRDefault="00286E6C" w:rsidP="00286E6C"/>
                  <w:p w14:paraId="2985D989" w14:textId="77777777" w:rsidR="00286E6C" w:rsidRDefault="00286E6C" w:rsidP="00286E6C"/>
                  <w:p w14:paraId="0EF71A10" w14:textId="77777777" w:rsidR="00286E6C" w:rsidRDefault="00286E6C" w:rsidP="00286E6C"/>
                  <w:p w14:paraId="38AFA19E" w14:textId="77777777" w:rsidR="00286E6C" w:rsidRDefault="00286E6C" w:rsidP="00286E6C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>
      <w:rPr>
        <w:rFonts w:ascii="Arial" w:hAnsi="Arial" w:cs="Arial"/>
        <w:color w:val="0070C0"/>
        <w:sz w:val="15"/>
        <w:szCs w:val="15"/>
      </w:rPr>
      <w:t>7</w:t>
    </w:r>
    <w:r w:rsidRPr="00094C23">
      <w:rPr>
        <w:rFonts w:ascii="Arial" w:hAnsi="Arial" w:cs="Arial"/>
        <w:color w:val="0070C0"/>
        <w:sz w:val="15"/>
        <w:szCs w:val="15"/>
      </w:rPr>
      <w:t xml:space="preserve"> – </w:t>
    </w:r>
    <w:r>
      <w:rPr>
        <w:rFonts w:ascii="Arial" w:hAnsi="Arial" w:cs="Arial"/>
        <w:color w:val="0070C0"/>
        <w:sz w:val="15"/>
        <w:szCs w:val="15"/>
      </w:rPr>
      <w:t>Motivazioni del ribasso del costo della manodopera</w:t>
    </w:r>
  </w:p>
  <w:p w14:paraId="67C77E33" w14:textId="4ABA3C2B" w:rsidR="000A1DEA" w:rsidRPr="00286E6C" w:rsidRDefault="00286E6C" w:rsidP="00286E6C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BBD18" w14:textId="77777777" w:rsidR="00AC50C9" w:rsidRDefault="00AC50C9" w:rsidP="00816101">
      <w:r>
        <w:separator/>
      </w:r>
    </w:p>
  </w:footnote>
  <w:footnote w:type="continuationSeparator" w:id="0">
    <w:p w14:paraId="444BFC34" w14:textId="77777777" w:rsidR="00AC50C9" w:rsidRDefault="00AC50C9" w:rsidP="00816101">
      <w:r>
        <w:continuationSeparator/>
      </w:r>
    </w:p>
  </w:footnote>
  <w:footnote w:type="continuationNotice" w:id="1">
    <w:p w14:paraId="40B7D075" w14:textId="77777777" w:rsidR="00AC50C9" w:rsidRDefault="00AC50C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027AF93C" w:rsidR="00EE6390" w:rsidRDefault="000F499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428A2DDB" wp14:editId="42B82ED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6E6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0C9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469BD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5A4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TitoloDocumento">
    <w:name w:val="Titolo Documento"/>
    <w:basedOn w:val="Normale"/>
    <w:qFormat/>
    <w:rsid w:val="00286E6C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3</TotalTime>
  <Pages>2</Pages>
  <Words>410</Words>
  <Characters>2623</Characters>
  <Application>Microsoft Office Word</Application>
  <DocSecurity>0</DocSecurity>
  <Lines>57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Sparro Marco</dc:creator>
  <cp:keywords/>
  <cp:lastModifiedBy>Portale Carmelo</cp:lastModifiedBy>
  <cp:revision>2</cp:revision>
  <cp:lastPrinted>2018-01-17T13:34:00Z</cp:lastPrinted>
  <dcterms:created xsi:type="dcterms:W3CDTF">2026-02-17T10:11:00Z</dcterms:created>
  <dcterms:modified xsi:type="dcterms:W3CDTF">2026-02-17T10:11:00Z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